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78E9" w14:textId="77777777" w:rsidR="00916A0C" w:rsidRPr="0022140C" w:rsidRDefault="00916A0C" w:rsidP="00916A0C">
      <w:pPr>
        <w:ind w:right="360"/>
        <w:jc w:val="both"/>
        <w:rPr>
          <w:b/>
          <w:bCs/>
          <w:noProof/>
          <w:sz w:val="24"/>
          <w:szCs w:val="24"/>
        </w:rPr>
      </w:pPr>
      <w:r w:rsidRPr="0022140C">
        <w:rPr>
          <w:b/>
          <w:bCs/>
          <w:noProof/>
          <w:sz w:val="24"/>
          <w:szCs w:val="24"/>
        </w:rPr>
        <w:t xml:space="preserve">Now is a Great Time to Sign Up for </w:t>
      </w:r>
      <w:r w:rsidRPr="002F32ED">
        <w:rPr>
          <w:b/>
          <w:bCs/>
          <w:noProof/>
          <w:sz w:val="24"/>
          <w:szCs w:val="24"/>
        </w:rPr>
        <w:t>Norton Community Electricity Aggregation</w:t>
      </w:r>
      <w:r>
        <w:rPr>
          <w:b/>
          <w:bCs/>
          <w:noProof/>
          <w:sz w:val="24"/>
          <w:szCs w:val="24"/>
        </w:rPr>
        <w:t xml:space="preserve"> </w:t>
      </w:r>
      <w:r w:rsidRPr="0022140C">
        <w:rPr>
          <w:b/>
          <w:bCs/>
          <w:noProof/>
          <w:sz w:val="24"/>
          <w:szCs w:val="24"/>
        </w:rPr>
        <w:t>and Lower Your Electric Bill!</w:t>
      </w:r>
      <w:r>
        <w:rPr>
          <w:b/>
          <w:bCs/>
          <w:noProof/>
          <w:sz w:val="24"/>
          <w:szCs w:val="24"/>
        </w:rPr>
        <w:t>*</w:t>
      </w:r>
    </w:p>
    <w:p w14:paraId="6C68494D" w14:textId="77777777" w:rsidR="00916A0C" w:rsidRDefault="00916A0C" w:rsidP="00916A0C">
      <w:pPr>
        <w:ind w:right="-90"/>
        <w:jc w:val="both"/>
        <w:rPr>
          <w:sz w:val="24"/>
          <w:szCs w:val="24"/>
        </w:rPr>
      </w:pPr>
      <w:r w:rsidRPr="00F264EC">
        <w:rPr>
          <w:sz w:val="24"/>
          <w:szCs w:val="24"/>
        </w:rPr>
        <w:t xml:space="preserve">The </w:t>
      </w:r>
      <w:r w:rsidRPr="002F32ED">
        <w:rPr>
          <w:noProof/>
          <w:sz w:val="24"/>
          <w:szCs w:val="24"/>
        </w:rPr>
        <w:t>Norton Community Electricity Aggregation</w:t>
      </w:r>
      <w:r w:rsidRPr="00F264EC">
        <w:rPr>
          <w:sz w:val="24"/>
          <w:szCs w:val="24"/>
        </w:rPr>
        <w:t xml:space="preserve"> is a program offered by the </w:t>
      </w:r>
      <w:r w:rsidRPr="002F32ED">
        <w:rPr>
          <w:noProof/>
          <w:sz w:val="24"/>
          <w:szCs w:val="24"/>
        </w:rPr>
        <w:t>Town</w:t>
      </w:r>
      <w:r>
        <w:rPr>
          <w:sz w:val="24"/>
          <w:szCs w:val="24"/>
        </w:rPr>
        <w:t xml:space="preserve"> </w:t>
      </w:r>
      <w:r w:rsidRPr="00F264EC">
        <w:rPr>
          <w:sz w:val="24"/>
          <w:szCs w:val="24"/>
        </w:rPr>
        <w:t xml:space="preserve">to provide residents and businesses with </w:t>
      </w:r>
      <w:r>
        <w:rPr>
          <w:sz w:val="24"/>
          <w:szCs w:val="24"/>
        </w:rPr>
        <w:t>more</w:t>
      </w:r>
      <w:r w:rsidRPr="00F264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electricity supply </w:t>
      </w:r>
      <w:r w:rsidRPr="00F264EC">
        <w:rPr>
          <w:sz w:val="24"/>
          <w:szCs w:val="24"/>
        </w:rPr>
        <w:t>options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and to keep electricity rates stable and competitive*</w:t>
      </w:r>
      <w:r>
        <w:rPr>
          <w:sz w:val="24"/>
          <w:szCs w:val="24"/>
        </w:rPr>
        <w:t xml:space="preserve">. </w:t>
      </w:r>
      <w:r w:rsidRPr="0022140C">
        <w:rPr>
          <w:noProof/>
          <w:sz w:val="24"/>
          <w:szCs w:val="24"/>
        </w:rPr>
        <w:t xml:space="preserve">New National Grid rates make </w:t>
      </w:r>
      <w:r w:rsidRPr="002F32ED">
        <w:rPr>
          <w:noProof/>
          <w:sz w:val="24"/>
          <w:szCs w:val="24"/>
        </w:rPr>
        <w:t>Norton Community Electricity Aggregation</w:t>
      </w:r>
      <w:r w:rsidRPr="0022140C">
        <w:rPr>
          <w:noProof/>
          <w:sz w:val="24"/>
          <w:szCs w:val="24"/>
        </w:rPr>
        <w:t xml:space="preserve"> a better option than ever! </w:t>
      </w:r>
      <w:r w:rsidRPr="002F32ED">
        <w:rPr>
          <w:noProof/>
          <w:sz w:val="24"/>
          <w:szCs w:val="24"/>
        </w:rPr>
        <w:t>National Grid</w:t>
      </w:r>
      <w:r>
        <w:rPr>
          <w:noProof/>
          <w:sz w:val="24"/>
          <w:szCs w:val="24"/>
        </w:rPr>
        <w:t xml:space="preserve"> rates </w:t>
      </w:r>
      <w:r>
        <w:rPr>
          <w:sz w:val="24"/>
          <w:szCs w:val="24"/>
        </w:rPr>
        <w:t>increased more than 5</w:t>
      </w:r>
      <w:r>
        <w:rPr>
          <w:bCs/>
        </w:rPr>
        <w:t>¢</w:t>
      </w:r>
      <w:r>
        <w:rPr>
          <w:sz w:val="24"/>
          <w:szCs w:val="24"/>
        </w:rPr>
        <w:t>/kWh on November 1 for residential customers. This would cost an average household an additional $30/month for the Supply Services portion of their electricity bill (assumes 600 kWh per month).</w:t>
      </w:r>
    </w:p>
    <w:p w14:paraId="77D0FF53" w14:textId="77777777" w:rsidR="00916A0C" w:rsidRDefault="00916A0C" w:rsidP="00916A0C">
      <w:pPr>
        <w:ind w:right="-180"/>
        <w:jc w:val="both"/>
        <w:rPr>
          <w:noProof/>
          <w:sz w:val="24"/>
          <w:szCs w:val="24"/>
        </w:rPr>
      </w:pPr>
      <w:r w:rsidRPr="007231AD">
        <w:rPr>
          <w:b/>
          <w:bCs/>
          <w:noProof/>
          <w:sz w:val="24"/>
          <w:szCs w:val="24"/>
        </w:rPr>
        <w:t>*</w:t>
      </w:r>
      <w:r>
        <w:rPr>
          <w:b/>
          <w:bCs/>
          <w:noProof/>
          <w:sz w:val="24"/>
          <w:szCs w:val="24"/>
        </w:rPr>
        <w:t>R</w:t>
      </w:r>
      <w:r w:rsidRPr="007231AD">
        <w:rPr>
          <w:b/>
          <w:bCs/>
          <w:noProof/>
          <w:sz w:val="24"/>
          <w:szCs w:val="24"/>
        </w:rPr>
        <w:t>equired disclaimer</w:t>
      </w:r>
      <w:r>
        <w:rPr>
          <w:b/>
          <w:bCs/>
          <w:noProof/>
          <w:sz w:val="24"/>
          <w:szCs w:val="24"/>
        </w:rPr>
        <w:t xml:space="preserve"> from the Department of Public Utillities</w:t>
      </w:r>
      <w:r>
        <w:rPr>
          <w:noProof/>
          <w:sz w:val="24"/>
          <w:szCs w:val="24"/>
        </w:rPr>
        <w:t xml:space="preserve">: Future savings cannot be guaranteed because future </w:t>
      </w:r>
      <w:r w:rsidRPr="002F32ED">
        <w:rPr>
          <w:noProof/>
          <w:sz w:val="24"/>
          <w:szCs w:val="24"/>
        </w:rPr>
        <w:t>National Grid</w:t>
      </w:r>
      <w:r>
        <w:rPr>
          <w:noProof/>
          <w:sz w:val="24"/>
          <w:szCs w:val="24"/>
        </w:rPr>
        <w:t xml:space="preserve"> rates (beyond April 2022) are unknown.</w:t>
      </w:r>
      <w:r w:rsidRPr="0022140C">
        <w:rPr>
          <w:noProof/>
          <w:sz w:val="24"/>
          <w:szCs w:val="24"/>
        </w:rPr>
        <w:t xml:space="preserve"> </w:t>
      </w:r>
    </w:p>
    <w:p w14:paraId="27E00E69" w14:textId="77777777" w:rsidR="00916A0C" w:rsidRPr="0022140C" w:rsidRDefault="00916A0C" w:rsidP="00916A0C">
      <w:pPr>
        <w:ind w:right="-180"/>
        <w:jc w:val="both"/>
        <w:rPr>
          <w:noProof/>
          <w:sz w:val="24"/>
          <w:szCs w:val="24"/>
        </w:rPr>
      </w:pPr>
      <w:r w:rsidRPr="0022140C">
        <w:rPr>
          <w:noProof/>
          <w:sz w:val="24"/>
          <w:szCs w:val="24"/>
        </w:rPr>
        <w:t xml:space="preserve">You can enroll on the </w:t>
      </w:r>
      <w:r w:rsidRPr="002F32ED">
        <w:rPr>
          <w:noProof/>
          <w:sz w:val="24"/>
          <w:szCs w:val="24"/>
        </w:rPr>
        <w:t>Norton Community Electricity Aggregation</w:t>
      </w:r>
      <w:r w:rsidRPr="0022140C">
        <w:rPr>
          <w:noProof/>
          <w:sz w:val="24"/>
          <w:szCs w:val="24"/>
        </w:rPr>
        <w:t xml:space="preserve"> website</w:t>
      </w:r>
      <w:r>
        <w:rPr>
          <w:noProof/>
          <w:sz w:val="24"/>
          <w:szCs w:val="24"/>
        </w:rPr>
        <w:t xml:space="preserve"> </w:t>
      </w:r>
      <w:r w:rsidRPr="002F32ED">
        <w:rPr>
          <w:noProof/>
          <w:sz w:val="24"/>
          <w:szCs w:val="24"/>
        </w:rPr>
        <w:t>MassCEA.com/Norton</w:t>
      </w:r>
      <w:r w:rsidRPr="0022140C">
        <w:rPr>
          <w:noProof/>
          <w:sz w:val="24"/>
          <w:szCs w:val="24"/>
        </w:rPr>
        <w:t>.</w:t>
      </w:r>
    </w:p>
    <w:p w14:paraId="5995A457" w14:textId="77777777" w:rsidR="00916A0C" w:rsidRPr="0022140C" w:rsidRDefault="00916A0C" w:rsidP="00916A0C">
      <w:pPr>
        <w:ind w:right="-180"/>
        <w:jc w:val="both"/>
        <w:rPr>
          <w:noProof/>
          <w:sz w:val="24"/>
          <w:szCs w:val="24"/>
        </w:rPr>
      </w:pPr>
      <w:r w:rsidRPr="0022140C">
        <w:rPr>
          <w:noProof/>
          <w:sz w:val="24"/>
          <w:szCs w:val="24"/>
        </w:rPr>
        <w:t xml:space="preserve">All you need is your Account Number and Customer Name Code, both found on your </w:t>
      </w:r>
      <w:r w:rsidRPr="002F32ED">
        <w:rPr>
          <w:noProof/>
          <w:sz w:val="24"/>
          <w:szCs w:val="24"/>
        </w:rPr>
        <w:t>National Grid</w:t>
      </w:r>
      <w:r>
        <w:rPr>
          <w:noProof/>
          <w:sz w:val="24"/>
          <w:szCs w:val="24"/>
        </w:rPr>
        <w:t xml:space="preserve"> </w:t>
      </w:r>
      <w:r w:rsidRPr="0022140C">
        <w:rPr>
          <w:noProof/>
          <w:sz w:val="24"/>
          <w:szCs w:val="24"/>
        </w:rPr>
        <w:t xml:space="preserve">bill. You can check if you are already enrolled in the </w:t>
      </w:r>
      <w:r w:rsidRPr="002F32ED">
        <w:rPr>
          <w:noProof/>
          <w:sz w:val="24"/>
          <w:szCs w:val="24"/>
        </w:rPr>
        <w:t>Norton Community Electricity Aggregation</w:t>
      </w:r>
      <w:r w:rsidRPr="0022140C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program </w:t>
      </w:r>
      <w:r w:rsidRPr="0022140C">
        <w:rPr>
          <w:noProof/>
          <w:sz w:val="24"/>
          <w:szCs w:val="24"/>
        </w:rPr>
        <w:t xml:space="preserve">by looking at your </w:t>
      </w:r>
      <w:r>
        <w:rPr>
          <w:noProof/>
          <w:sz w:val="24"/>
          <w:szCs w:val="24"/>
        </w:rPr>
        <w:t>bill: in the Supply Services section, the S</w:t>
      </w:r>
      <w:r w:rsidRPr="0022140C">
        <w:rPr>
          <w:noProof/>
          <w:sz w:val="24"/>
          <w:szCs w:val="24"/>
        </w:rPr>
        <w:t xml:space="preserve">upplier </w:t>
      </w:r>
      <w:r>
        <w:rPr>
          <w:noProof/>
          <w:sz w:val="24"/>
          <w:szCs w:val="24"/>
        </w:rPr>
        <w:t>should be “</w:t>
      </w:r>
      <w:r w:rsidRPr="002F32ED">
        <w:rPr>
          <w:noProof/>
          <w:sz w:val="24"/>
          <w:szCs w:val="24"/>
        </w:rPr>
        <w:t>Constellation NewEnergy (Norton Agg)</w:t>
      </w:r>
      <w:r>
        <w:rPr>
          <w:noProof/>
          <w:sz w:val="24"/>
          <w:szCs w:val="24"/>
        </w:rPr>
        <w:t>”</w:t>
      </w:r>
      <w:r w:rsidRPr="0022140C">
        <w:rPr>
          <w:noProof/>
          <w:sz w:val="24"/>
          <w:szCs w:val="24"/>
        </w:rPr>
        <w:t xml:space="preserve">. </w:t>
      </w:r>
    </w:p>
    <w:p w14:paraId="5CCE8169" w14:textId="77777777" w:rsidR="00916A0C" w:rsidRDefault="00916A0C" w:rsidP="00916A0C">
      <w:pPr>
        <w:ind w:right="-180"/>
        <w:jc w:val="both"/>
        <w:rPr>
          <w:noProof/>
          <w:sz w:val="24"/>
          <w:szCs w:val="24"/>
        </w:rPr>
      </w:pPr>
      <w:r w:rsidRPr="0022140C">
        <w:rPr>
          <w:noProof/>
          <w:sz w:val="24"/>
          <w:szCs w:val="24"/>
        </w:rPr>
        <w:t xml:space="preserve">You can </w:t>
      </w:r>
      <w:r>
        <w:rPr>
          <w:noProof/>
          <w:sz w:val="24"/>
          <w:szCs w:val="24"/>
        </w:rPr>
        <w:t>use the calculator to compare the rates</w:t>
      </w:r>
      <w:r w:rsidRPr="0022140C">
        <w:rPr>
          <w:noProof/>
          <w:sz w:val="24"/>
          <w:szCs w:val="24"/>
        </w:rPr>
        <w:t xml:space="preserve"> on the </w:t>
      </w:r>
      <w:r w:rsidRPr="002F32ED">
        <w:rPr>
          <w:noProof/>
          <w:sz w:val="24"/>
          <w:szCs w:val="24"/>
        </w:rPr>
        <w:t>Norton Community Electricity Aggregation</w:t>
      </w:r>
      <w:r w:rsidRPr="0022140C">
        <w:rPr>
          <w:noProof/>
          <w:sz w:val="24"/>
          <w:szCs w:val="24"/>
        </w:rPr>
        <w:t xml:space="preserve"> website</w:t>
      </w:r>
      <w:r>
        <w:rPr>
          <w:noProof/>
          <w:sz w:val="24"/>
          <w:szCs w:val="24"/>
        </w:rPr>
        <w:t xml:space="preserve"> </w:t>
      </w:r>
      <w:r w:rsidRPr="002F32ED">
        <w:rPr>
          <w:noProof/>
          <w:sz w:val="24"/>
          <w:szCs w:val="24"/>
        </w:rPr>
        <w:t>MassCEA.com/Norton</w:t>
      </w:r>
      <w:r>
        <w:rPr>
          <w:noProof/>
          <w:sz w:val="24"/>
          <w:szCs w:val="24"/>
        </w:rPr>
        <w:t>.</w:t>
      </w:r>
      <w:r w:rsidRPr="007231AD">
        <w:rPr>
          <w:noProof/>
          <w:sz w:val="24"/>
          <w:szCs w:val="24"/>
        </w:rPr>
        <w:t xml:space="preserve"> </w:t>
      </w:r>
      <w:r w:rsidRPr="0022140C">
        <w:rPr>
          <w:noProof/>
          <w:sz w:val="24"/>
          <w:szCs w:val="24"/>
        </w:rPr>
        <w:t xml:space="preserve">You can also opt into </w:t>
      </w:r>
      <w:r w:rsidRPr="002F32ED">
        <w:rPr>
          <w:noProof/>
          <w:sz w:val="24"/>
          <w:szCs w:val="24"/>
        </w:rPr>
        <w:t>100% Green</w:t>
      </w:r>
      <w:r>
        <w:rPr>
          <w:noProof/>
          <w:sz w:val="24"/>
          <w:szCs w:val="24"/>
        </w:rPr>
        <w:t xml:space="preserve"> </w:t>
      </w:r>
      <w:r w:rsidRPr="0022140C">
        <w:rPr>
          <w:noProof/>
          <w:sz w:val="24"/>
          <w:szCs w:val="24"/>
        </w:rPr>
        <w:t>($</w:t>
      </w:r>
      <w:r w:rsidRPr="002F32ED">
        <w:rPr>
          <w:noProof/>
          <w:sz w:val="24"/>
          <w:szCs w:val="24"/>
        </w:rPr>
        <w:t>0.14019</w:t>
      </w:r>
      <w:r w:rsidRPr="0022140C">
        <w:rPr>
          <w:noProof/>
          <w:sz w:val="24"/>
          <w:szCs w:val="24"/>
        </w:rPr>
        <w:t xml:space="preserve">/kWh) and have 100% of your electricity come from a renewable </w:t>
      </w:r>
      <w:r>
        <w:rPr>
          <w:noProof/>
          <w:sz w:val="24"/>
          <w:szCs w:val="24"/>
        </w:rPr>
        <w:t>re</w:t>
      </w:r>
      <w:r w:rsidRPr="0022140C">
        <w:rPr>
          <w:noProof/>
          <w:sz w:val="24"/>
          <w:szCs w:val="24"/>
        </w:rPr>
        <w:t>source</w:t>
      </w:r>
      <w:r>
        <w:rPr>
          <w:noProof/>
          <w:sz w:val="24"/>
          <w:szCs w:val="24"/>
        </w:rPr>
        <w:t>s</w:t>
      </w:r>
      <w:r w:rsidRPr="0022140C">
        <w:rPr>
          <w:noProof/>
          <w:sz w:val="24"/>
          <w:szCs w:val="24"/>
        </w:rPr>
        <w:t xml:space="preserve"> in </w:t>
      </w:r>
      <w:r>
        <w:rPr>
          <w:noProof/>
          <w:sz w:val="24"/>
          <w:szCs w:val="24"/>
        </w:rPr>
        <w:t>our region</w:t>
      </w:r>
      <w:r w:rsidRPr="0022140C">
        <w:rPr>
          <w:noProof/>
          <w:sz w:val="24"/>
          <w:szCs w:val="24"/>
        </w:rPr>
        <w:t xml:space="preserve">! </w:t>
      </w:r>
    </w:p>
    <w:p w14:paraId="794770E2" w14:textId="77777777" w:rsidR="00916A0C" w:rsidRPr="00F264EC" w:rsidRDefault="00916A0C" w:rsidP="00916A0C">
      <w:pPr>
        <w:ind w:right="-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2F32ED">
        <w:rPr>
          <w:noProof/>
          <w:sz w:val="24"/>
          <w:szCs w:val="24"/>
        </w:rPr>
        <w:t>Norton Community Electricity Aggregation</w:t>
      </w:r>
      <w:r>
        <w:rPr>
          <w:sz w:val="24"/>
          <w:szCs w:val="24"/>
        </w:rPr>
        <w:t xml:space="preserve"> program options are: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070"/>
        <w:gridCol w:w="2160"/>
        <w:gridCol w:w="2250"/>
        <w:gridCol w:w="270"/>
        <w:gridCol w:w="2605"/>
      </w:tblGrid>
      <w:tr w:rsidR="00916A0C" w14:paraId="11AF810D" w14:textId="77777777" w:rsidTr="00AC5750">
        <w:tc>
          <w:tcPr>
            <w:tcW w:w="2070" w:type="dxa"/>
            <w:vAlign w:val="center"/>
          </w:tcPr>
          <w:p w14:paraId="44C282D7" w14:textId="77777777" w:rsidR="00916A0C" w:rsidRDefault="00916A0C" w:rsidP="00AC5750">
            <w:pPr>
              <w:jc w:val="center"/>
              <w:rPr>
                <w:b/>
              </w:rPr>
            </w:pPr>
            <w:r w:rsidRPr="002F32ED">
              <w:rPr>
                <w:b/>
                <w:noProof/>
              </w:rPr>
              <w:t>Standard</w:t>
            </w:r>
          </w:p>
        </w:tc>
        <w:tc>
          <w:tcPr>
            <w:tcW w:w="2160" w:type="dxa"/>
            <w:vAlign w:val="center"/>
          </w:tcPr>
          <w:p w14:paraId="75224BF1" w14:textId="77777777" w:rsidR="00916A0C" w:rsidRPr="009F21CB" w:rsidRDefault="00916A0C" w:rsidP="00AC5750">
            <w:pPr>
              <w:jc w:val="center"/>
              <w:rPr>
                <w:b/>
              </w:rPr>
            </w:pPr>
            <w:r w:rsidRPr="002F32ED">
              <w:rPr>
                <w:b/>
                <w:noProof/>
              </w:rPr>
              <w:t>50% Green</w:t>
            </w:r>
          </w:p>
        </w:tc>
        <w:tc>
          <w:tcPr>
            <w:tcW w:w="2250" w:type="dxa"/>
            <w:vAlign w:val="center"/>
          </w:tcPr>
          <w:p w14:paraId="3FC85496" w14:textId="77777777" w:rsidR="00916A0C" w:rsidRDefault="00916A0C" w:rsidP="00AC5750">
            <w:pPr>
              <w:jc w:val="center"/>
              <w:rPr>
                <w:b/>
              </w:rPr>
            </w:pPr>
            <w:r w:rsidRPr="002F32ED">
              <w:rPr>
                <w:b/>
                <w:noProof/>
              </w:rPr>
              <w:t>100% Green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361D809" w14:textId="77777777" w:rsidR="00916A0C" w:rsidRDefault="00916A0C" w:rsidP="00AC5750">
            <w:pPr>
              <w:jc w:val="center"/>
              <w:rPr>
                <w:b/>
              </w:rPr>
            </w:pPr>
          </w:p>
        </w:tc>
        <w:tc>
          <w:tcPr>
            <w:tcW w:w="2605" w:type="dxa"/>
            <w:vAlign w:val="center"/>
          </w:tcPr>
          <w:p w14:paraId="5BA98711" w14:textId="77777777" w:rsidR="00916A0C" w:rsidRDefault="00916A0C" w:rsidP="00AC5750">
            <w:pPr>
              <w:jc w:val="center"/>
              <w:rPr>
                <w:b/>
              </w:rPr>
            </w:pPr>
            <w:r w:rsidRPr="002F32ED">
              <w:rPr>
                <w:b/>
                <w:noProof/>
              </w:rPr>
              <w:t>National Grid</w:t>
            </w:r>
            <w:r>
              <w:rPr>
                <w:b/>
              </w:rPr>
              <w:br/>
              <w:t xml:space="preserve"> Basic Service</w:t>
            </w:r>
            <w:r>
              <w:rPr>
                <w:b/>
              </w:rPr>
              <w:br/>
              <w:t xml:space="preserve"> (residential customers)</w:t>
            </w:r>
          </w:p>
        </w:tc>
      </w:tr>
      <w:tr w:rsidR="00916A0C" w14:paraId="3C34F2B1" w14:textId="77777777" w:rsidTr="00AC5750">
        <w:trPr>
          <w:trHeight w:val="422"/>
        </w:trPr>
        <w:tc>
          <w:tcPr>
            <w:tcW w:w="2070" w:type="dxa"/>
            <w:vAlign w:val="center"/>
          </w:tcPr>
          <w:p w14:paraId="14F69C74" w14:textId="77777777" w:rsidR="00916A0C" w:rsidRPr="00702C22" w:rsidRDefault="00916A0C" w:rsidP="00AC5750">
            <w:pPr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Pr="002F32ED">
              <w:rPr>
                <w:bCs/>
                <w:noProof/>
              </w:rPr>
              <w:t>0.10470</w:t>
            </w:r>
            <w:r>
              <w:rPr>
                <w:bCs/>
              </w:rPr>
              <w:t>/</w:t>
            </w:r>
            <w:r w:rsidRPr="00702C22">
              <w:rPr>
                <w:bCs/>
              </w:rPr>
              <w:t>kWh</w:t>
            </w:r>
          </w:p>
        </w:tc>
        <w:tc>
          <w:tcPr>
            <w:tcW w:w="2160" w:type="dxa"/>
            <w:vAlign w:val="center"/>
          </w:tcPr>
          <w:p w14:paraId="53DCC19E" w14:textId="77777777" w:rsidR="00916A0C" w:rsidRDefault="00916A0C" w:rsidP="00AC5750">
            <w:pPr>
              <w:jc w:val="center"/>
              <w:rPr>
                <w:b/>
              </w:rPr>
            </w:pPr>
            <w:r>
              <w:rPr>
                <w:bCs/>
              </w:rPr>
              <w:t>$</w:t>
            </w:r>
            <w:r w:rsidRPr="002F32ED">
              <w:rPr>
                <w:bCs/>
                <w:noProof/>
              </w:rPr>
              <w:t>0.12244</w:t>
            </w:r>
            <w:r>
              <w:rPr>
                <w:bCs/>
              </w:rPr>
              <w:t>/</w:t>
            </w:r>
            <w:r w:rsidRPr="00702C22">
              <w:rPr>
                <w:bCs/>
              </w:rPr>
              <w:t>kWh</w:t>
            </w:r>
          </w:p>
        </w:tc>
        <w:tc>
          <w:tcPr>
            <w:tcW w:w="2250" w:type="dxa"/>
            <w:vAlign w:val="center"/>
          </w:tcPr>
          <w:p w14:paraId="56FC9C12" w14:textId="77777777" w:rsidR="00916A0C" w:rsidRPr="00591726" w:rsidRDefault="00916A0C" w:rsidP="00AC5750">
            <w:pPr>
              <w:jc w:val="center"/>
            </w:pPr>
            <w:r>
              <w:t>$</w:t>
            </w:r>
            <w:r>
              <w:rPr>
                <w:noProof/>
              </w:rPr>
              <w:t>0.14019</w:t>
            </w:r>
            <w:r>
              <w:t>/kWh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3FC37EE" w14:textId="77777777" w:rsidR="00916A0C" w:rsidRDefault="00916A0C" w:rsidP="00AC5750">
            <w:pPr>
              <w:jc w:val="center"/>
              <w:rPr>
                <w:b/>
              </w:rPr>
            </w:pPr>
          </w:p>
        </w:tc>
        <w:tc>
          <w:tcPr>
            <w:tcW w:w="2605" w:type="dxa"/>
            <w:vAlign w:val="center"/>
          </w:tcPr>
          <w:p w14:paraId="6DFA73AF" w14:textId="77777777" w:rsidR="00916A0C" w:rsidRDefault="00916A0C" w:rsidP="00AC5750">
            <w:pPr>
              <w:jc w:val="center"/>
              <w:rPr>
                <w:b/>
              </w:rPr>
            </w:pPr>
            <w:r>
              <w:rPr>
                <w:rFonts w:asciiTheme="majorHAnsi" w:hAnsiTheme="majorHAnsi" w:cstheme="majorHAnsi"/>
              </w:rPr>
              <w:t>$0.</w:t>
            </w:r>
            <w:r w:rsidRPr="00A8005F">
              <w:rPr>
                <w:rFonts w:asciiTheme="majorHAnsi" w:hAnsiTheme="majorHAnsi" w:cstheme="majorHAnsi"/>
              </w:rPr>
              <w:t>14821/kWh</w:t>
            </w:r>
          </w:p>
        </w:tc>
      </w:tr>
      <w:tr w:rsidR="00916A0C" w14:paraId="647828FE" w14:textId="77777777" w:rsidTr="00AC5750">
        <w:trPr>
          <w:trHeight w:val="413"/>
        </w:trPr>
        <w:tc>
          <w:tcPr>
            <w:tcW w:w="6480" w:type="dxa"/>
            <w:gridSpan w:val="3"/>
            <w:vAlign w:val="center"/>
          </w:tcPr>
          <w:p w14:paraId="564F3C5A" w14:textId="77777777" w:rsidR="00916A0C" w:rsidRPr="00702C22" w:rsidRDefault="00916A0C" w:rsidP="00AC5750">
            <w:pPr>
              <w:jc w:val="center"/>
            </w:pPr>
            <w:r>
              <w:rPr>
                <w:noProof/>
              </w:rPr>
              <w:t>January 2021</w:t>
            </w:r>
            <w:r w:rsidRPr="00702C22">
              <w:t xml:space="preserve"> - </w:t>
            </w:r>
            <w:r>
              <w:rPr>
                <w:noProof/>
              </w:rPr>
              <w:t>December 2023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8CB308C" w14:textId="77777777" w:rsidR="00916A0C" w:rsidRDefault="00916A0C" w:rsidP="00AC5750">
            <w:pPr>
              <w:jc w:val="center"/>
              <w:rPr>
                <w:b/>
              </w:rPr>
            </w:pPr>
          </w:p>
        </w:tc>
        <w:tc>
          <w:tcPr>
            <w:tcW w:w="2605" w:type="dxa"/>
            <w:vAlign w:val="center"/>
          </w:tcPr>
          <w:p w14:paraId="66123B41" w14:textId="77777777" w:rsidR="00916A0C" w:rsidRPr="00702C22" w:rsidRDefault="00916A0C" w:rsidP="00AC5750">
            <w:pPr>
              <w:jc w:val="center"/>
              <w:rPr>
                <w:sz w:val="20"/>
                <w:szCs w:val="20"/>
              </w:rPr>
            </w:pPr>
            <w:r w:rsidRPr="00702C22">
              <w:rPr>
                <w:sz w:val="20"/>
                <w:szCs w:val="20"/>
              </w:rPr>
              <w:t xml:space="preserve">November 2021- </w:t>
            </w:r>
            <w:r>
              <w:rPr>
                <w:sz w:val="20"/>
                <w:szCs w:val="20"/>
              </w:rPr>
              <w:br/>
            </w:r>
            <w:r w:rsidRPr="00702C22">
              <w:rPr>
                <w:sz w:val="20"/>
                <w:szCs w:val="20"/>
              </w:rPr>
              <w:t>April 2022</w:t>
            </w:r>
          </w:p>
        </w:tc>
      </w:tr>
    </w:tbl>
    <w:p w14:paraId="5B22C209" w14:textId="77777777" w:rsidR="00916A0C" w:rsidRDefault="00916A0C"/>
    <w:sectPr w:rsidR="00916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0C"/>
    <w:rsid w:val="006A5DD7"/>
    <w:rsid w:val="0091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9E730"/>
  <w15:chartTrackingRefBased/>
  <w15:docId w15:val="{C6865C4F-49EC-48D1-B573-F7442DE7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A0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A0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4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Mark</dc:creator>
  <cp:keywords/>
  <dc:description/>
  <cp:lastModifiedBy>Charlene Fisk</cp:lastModifiedBy>
  <cp:revision>2</cp:revision>
  <dcterms:created xsi:type="dcterms:W3CDTF">2021-11-16T19:13:00Z</dcterms:created>
  <dcterms:modified xsi:type="dcterms:W3CDTF">2021-11-16T19:13:00Z</dcterms:modified>
</cp:coreProperties>
</file>